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AB5B" w14:textId="77777777" w:rsidR="00B11531" w:rsidRDefault="00B11531" w:rsidP="00B11531">
      <w:pPr>
        <w:rPr>
          <w:noProof/>
          <w:lang w:val="hr-HR" w:eastAsia="hr-HR"/>
        </w:rPr>
      </w:pPr>
    </w:p>
    <w:p w14:paraId="34B58EF0" w14:textId="77777777" w:rsidR="00B11531" w:rsidRDefault="00B11531" w:rsidP="00B11531">
      <w:pPr>
        <w:rPr>
          <w:b/>
          <w:lang w:val="hr-HR"/>
        </w:rPr>
      </w:pPr>
      <w:r>
        <w:rPr>
          <w:noProof/>
          <w:lang w:val="hr-HR" w:eastAsia="hr-HR"/>
        </w:rPr>
        <w:t xml:space="preserve">           </w:t>
      </w:r>
      <w:r>
        <w:rPr>
          <w:noProof/>
          <w:lang w:val="hr-HR" w:eastAsia="hr-HR"/>
        </w:rPr>
        <w:drawing>
          <wp:inline distT="0" distB="0" distL="0" distR="0" wp14:anchorId="36B172A6" wp14:editId="50882E2F">
            <wp:extent cx="695325" cy="895350"/>
            <wp:effectExtent l="0" t="0" r="9525" b="0"/>
            <wp:docPr id="1667975204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94E9A" w14:textId="77777777" w:rsidR="00B11531" w:rsidRDefault="00B11531" w:rsidP="00B11531">
      <w:pPr>
        <w:rPr>
          <w:b/>
          <w:lang w:val="hr-HR"/>
        </w:rPr>
      </w:pPr>
    </w:p>
    <w:p w14:paraId="15893361" w14:textId="77777777" w:rsidR="00B11531" w:rsidRDefault="00B11531" w:rsidP="00B11531">
      <w:pPr>
        <w:rPr>
          <w:b/>
          <w:lang w:val="hr-HR"/>
        </w:rPr>
      </w:pPr>
      <w:r>
        <w:rPr>
          <w:b/>
          <w:lang w:val="hr-HR"/>
        </w:rPr>
        <w:t>REPU</w:t>
      </w:r>
      <w:r>
        <w:rPr>
          <w:b/>
        </w:rPr>
        <w:t>BLIKAHRVATSKA</w:t>
      </w:r>
    </w:p>
    <w:p w14:paraId="4B84C403" w14:textId="77777777" w:rsidR="00B11531" w:rsidRDefault="00B11531" w:rsidP="00B11531">
      <w:pPr>
        <w:rPr>
          <w:b/>
          <w:lang w:val="hr-HR"/>
        </w:rPr>
      </w:pPr>
      <w:r>
        <w:rPr>
          <w:b/>
          <w:lang w:val="hr-HR"/>
        </w:rPr>
        <w:t xml:space="preserve"> ZADARSKA ŽUPANIJA                                           </w:t>
      </w:r>
    </w:p>
    <w:p w14:paraId="3F6094A3" w14:textId="77777777" w:rsidR="00B11531" w:rsidRDefault="00B11531" w:rsidP="00B11531">
      <w:pPr>
        <w:rPr>
          <w:b/>
          <w:lang w:val="hr-HR"/>
        </w:rPr>
      </w:pPr>
      <w:r>
        <w:rPr>
          <w:b/>
          <w:lang w:val="hr-HR"/>
        </w:rPr>
        <w:t xml:space="preserve">   OPĆINA ŠKABRNJA</w:t>
      </w:r>
    </w:p>
    <w:p w14:paraId="7732FA1E" w14:textId="77777777" w:rsidR="00B11531" w:rsidRDefault="00B11531" w:rsidP="00B11531">
      <w:pPr>
        <w:rPr>
          <w:b/>
          <w:lang w:val="hr-HR"/>
        </w:rPr>
      </w:pPr>
    </w:p>
    <w:p w14:paraId="79B246FB" w14:textId="77777777" w:rsidR="00B11531" w:rsidRDefault="00B11531" w:rsidP="00B11531">
      <w:pPr>
        <w:jc w:val="center"/>
        <w:rPr>
          <w:b/>
          <w:lang w:val="hr-HR"/>
        </w:rPr>
      </w:pPr>
    </w:p>
    <w:p w14:paraId="475A1593" w14:textId="77777777" w:rsidR="00B11531" w:rsidRDefault="00B11531" w:rsidP="00B11531">
      <w:pPr>
        <w:jc w:val="center"/>
        <w:rPr>
          <w:b/>
          <w:lang w:val="hr-HR"/>
        </w:rPr>
      </w:pPr>
      <w:r>
        <w:rPr>
          <w:b/>
          <w:lang w:val="hr-HR"/>
        </w:rPr>
        <w:t>BILJEŠKE UZ  FINANCIJSKE IZVJEŠTAJE</w:t>
      </w:r>
    </w:p>
    <w:p w14:paraId="65FA951F" w14:textId="3F394D9B" w:rsidR="00B11531" w:rsidRDefault="00B11531" w:rsidP="00B11531">
      <w:pPr>
        <w:jc w:val="center"/>
        <w:rPr>
          <w:b/>
          <w:lang w:val="hr-HR"/>
        </w:rPr>
      </w:pPr>
      <w:r>
        <w:rPr>
          <w:b/>
          <w:lang w:val="hr-HR"/>
        </w:rPr>
        <w:t>OD 1.1.2025. DO 31.3.2025.GODINE</w:t>
      </w:r>
    </w:p>
    <w:p w14:paraId="5937B59B" w14:textId="77777777" w:rsidR="00B11531" w:rsidRDefault="00B11531" w:rsidP="00B11531">
      <w:pPr>
        <w:jc w:val="center"/>
        <w:rPr>
          <w:b/>
          <w:lang w:val="hr-HR"/>
        </w:rPr>
      </w:pPr>
    </w:p>
    <w:p w14:paraId="493ED200" w14:textId="77777777" w:rsidR="00B11531" w:rsidRDefault="00B11531" w:rsidP="00B11531">
      <w:pPr>
        <w:jc w:val="center"/>
        <w:rPr>
          <w:b/>
          <w:lang w:val="hr-HR"/>
        </w:rPr>
      </w:pPr>
    </w:p>
    <w:p w14:paraId="0A0B29E9" w14:textId="77777777" w:rsidR="00B11531" w:rsidRDefault="00B11531" w:rsidP="00B11531">
      <w:pPr>
        <w:rPr>
          <w:b/>
          <w:u w:val="single"/>
          <w:lang w:val="hr-HR"/>
        </w:rPr>
      </w:pPr>
      <w:r>
        <w:rPr>
          <w:b/>
          <w:u w:val="single"/>
          <w:lang w:val="hr-HR"/>
        </w:rPr>
        <w:t>Uvodna bilješka-podaci o obvezniku</w:t>
      </w:r>
    </w:p>
    <w:p w14:paraId="6953964D" w14:textId="77777777" w:rsidR="00B11531" w:rsidRDefault="00B11531" w:rsidP="00B11531">
      <w:pPr>
        <w:rPr>
          <w:lang w:val="hr-HR"/>
        </w:rPr>
      </w:pPr>
    </w:p>
    <w:p w14:paraId="0C30BEB4" w14:textId="77777777" w:rsidR="00B11531" w:rsidRPr="006240D3" w:rsidRDefault="00B11531" w:rsidP="00B11531">
      <w:pPr>
        <w:rPr>
          <w:lang w:val="hr-HR"/>
        </w:rPr>
      </w:pPr>
      <w:r w:rsidRPr="006240D3">
        <w:rPr>
          <w:lang w:val="hr-HR"/>
        </w:rPr>
        <w:t>Općina Škabrnja</w:t>
      </w:r>
    </w:p>
    <w:p w14:paraId="4510ACDF" w14:textId="77777777" w:rsidR="00B11531" w:rsidRPr="006240D3" w:rsidRDefault="00B11531" w:rsidP="00B11531">
      <w:pPr>
        <w:rPr>
          <w:lang w:val="hr-HR"/>
        </w:rPr>
      </w:pPr>
      <w:r w:rsidRPr="006240D3">
        <w:rPr>
          <w:lang w:val="hr-HR"/>
        </w:rPr>
        <w:t xml:space="preserve">Trg </w:t>
      </w:r>
      <w:proofErr w:type="spellStart"/>
      <w:r w:rsidRPr="006240D3">
        <w:rPr>
          <w:lang w:val="hr-HR"/>
        </w:rPr>
        <w:t>dr.Franje</w:t>
      </w:r>
      <w:proofErr w:type="spellEnd"/>
      <w:r w:rsidRPr="006240D3">
        <w:rPr>
          <w:lang w:val="hr-HR"/>
        </w:rPr>
        <w:t xml:space="preserve"> Tuđmana 6</w:t>
      </w:r>
    </w:p>
    <w:p w14:paraId="2BC4CAAB" w14:textId="77777777" w:rsidR="00B11531" w:rsidRPr="006240D3" w:rsidRDefault="00B11531" w:rsidP="00B11531">
      <w:pPr>
        <w:rPr>
          <w:lang w:val="hr-HR"/>
        </w:rPr>
      </w:pPr>
      <w:r w:rsidRPr="006240D3">
        <w:rPr>
          <w:lang w:val="hr-HR"/>
        </w:rPr>
        <w:t>23223 Škabrnja</w:t>
      </w:r>
    </w:p>
    <w:p w14:paraId="379FCBED" w14:textId="77777777" w:rsidR="00B11531" w:rsidRPr="006240D3" w:rsidRDefault="00B11531" w:rsidP="00B11531">
      <w:pPr>
        <w:rPr>
          <w:lang w:val="hr-HR"/>
        </w:rPr>
      </w:pPr>
    </w:p>
    <w:p w14:paraId="085F19B8" w14:textId="77777777" w:rsidR="00B11531" w:rsidRPr="00C07695" w:rsidRDefault="00B11531" w:rsidP="00B11531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OIB:39446016095</w:t>
      </w:r>
    </w:p>
    <w:p w14:paraId="436A5A6C" w14:textId="77777777" w:rsidR="00B11531" w:rsidRPr="00C07695" w:rsidRDefault="00B11531" w:rsidP="00B11531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MATIČNI BROJ : 02631369</w:t>
      </w:r>
    </w:p>
    <w:p w14:paraId="621BAC03" w14:textId="77777777" w:rsidR="00B11531" w:rsidRPr="00C07695" w:rsidRDefault="00B11531" w:rsidP="00B11531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Broj RKP-a: 35564</w:t>
      </w:r>
    </w:p>
    <w:p w14:paraId="5AA2D391" w14:textId="77777777" w:rsidR="00B11531" w:rsidRPr="00C07695" w:rsidRDefault="00B11531" w:rsidP="00B11531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Šifra općine: 445</w:t>
      </w:r>
    </w:p>
    <w:p w14:paraId="339B51C5" w14:textId="77777777" w:rsidR="00B11531" w:rsidRPr="00C07695" w:rsidRDefault="00B11531" w:rsidP="00B11531">
      <w:pPr>
        <w:pStyle w:val="Bezproreda"/>
        <w:rPr>
          <w:rFonts w:ascii="Times New Roman" w:hAnsi="Times New Roman" w:cs="Times New Roman"/>
        </w:rPr>
      </w:pPr>
      <w:r w:rsidRPr="00C07695">
        <w:rPr>
          <w:rFonts w:ascii="Times New Roman" w:hAnsi="Times New Roman" w:cs="Times New Roman"/>
        </w:rPr>
        <w:t>Šifra djelatnosti: 8411- Opće djelatnosti javne uprave</w:t>
      </w:r>
    </w:p>
    <w:p w14:paraId="689CC237" w14:textId="77777777" w:rsidR="00B11531" w:rsidRPr="00C07695" w:rsidRDefault="00B11531" w:rsidP="00B11531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Razina:22-</w:t>
      </w:r>
      <w:r w:rsidRPr="00C07695">
        <w:rPr>
          <w:sz w:val="22"/>
          <w:szCs w:val="22"/>
        </w:rPr>
        <w:t xml:space="preserve"> </w:t>
      </w:r>
      <w:r w:rsidRPr="00C07695">
        <w:rPr>
          <w:sz w:val="22"/>
          <w:szCs w:val="22"/>
          <w:lang w:val="hr-HR"/>
        </w:rPr>
        <w:t>Proračun jedinice lokalne i područne (regionalne) samouprave</w:t>
      </w:r>
    </w:p>
    <w:p w14:paraId="60D3950A" w14:textId="77777777" w:rsidR="00B11531" w:rsidRPr="00C07695" w:rsidRDefault="00B11531" w:rsidP="00B11531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Razdjel: 00</w:t>
      </w:r>
    </w:p>
    <w:p w14:paraId="30099167" w14:textId="77777777" w:rsidR="00B11531" w:rsidRPr="00C07695" w:rsidRDefault="00B11531" w:rsidP="00B11531">
      <w:pPr>
        <w:rPr>
          <w:sz w:val="22"/>
          <w:szCs w:val="22"/>
          <w:lang w:val="hr-HR"/>
        </w:rPr>
      </w:pPr>
      <w:r w:rsidRPr="00C07695">
        <w:rPr>
          <w:sz w:val="22"/>
          <w:szCs w:val="22"/>
          <w:lang w:val="hr-HR"/>
        </w:rPr>
        <w:t>Broj računa:HR8824020061844500004</w:t>
      </w:r>
    </w:p>
    <w:p w14:paraId="66EDC4B7" w14:textId="77777777" w:rsidR="00B11531" w:rsidRPr="00084B42" w:rsidRDefault="00B11531" w:rsidP="00B11531">
      <w:pPr>
        <w:pStyle w:val="Naslov1"/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</w:pPr>
      <w:r w:rsidRPr="00084B42">
        <w:rPr>
          <w:rFonts w:ascii="Times New Roman" w:hAnsi="Times New Roman" w:cs="Times New Roman"/>
          <w:b/>
          <w:bCs/>
          <w:i/>
          <w:color w:val="auto"/>
          <w:sz w:val="28"/>
          <w:szCs w:val="28"/>
          <w:u w:val="single"/>
        </w:rPr>
        <w:t>Bilješke uz Obrazac PR-RAS</w:t>
      </w:r>
    </w:p>
    <w:p w14:paraId="4AA08675" w14:textId="77777777" w:rsidR="00B11531" w:rsidRDefault="00B11531" w:rsidP="00B11531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531883" w14:textId="77777777" w:rsidR="00B11531" w:rsidRDefault="00B11531" w:rsidP="00B11531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poslovanja: </w:t>
      </w:r>
    </w:p>
    <w:p w14:paraId="0DE0238C" w14:textId="77777777" w:rsidR="00B11531" w:rsidRDefault="00B11531" w:rsidP="00B11531">
      <w:pPr>
        <w:pStyle w:val="Bezproreda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B11531" w14:paraId="209D3347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C0700C" w14:textId="77777777" w:rsidR="00B11531" w:rsidRDefault="00B11531" w:rsidP="008A2F27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PRIHODI POSLOVANJA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97736B" w14:textId="341F3D75" w:rsidR="00B11531" w:rsidRDefault="00B11531" w:rsidP="008A2F27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33C1C4" w14:textId="73B049A2" w:rsidR="00B11531" w:rsidRDefault="00B11531" w:rsidP="008A2F27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2025.</w:t>
            </w:r>
          </w:p>
        </w:tc>
      </w:tr>
      <w:tr w:rsidR="00B11531" w14:paraId="59BF9F77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F1AD" w14:textId="77777777" w:rsidR="00B11531" w:rsidRDefault="00B11531" w:rsidP="00B1153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Prihodi od poreza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4D3F" w14:textId="3871698E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158.841,50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23BB" w14:textId="351556D9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208.889,72</w:t>
            </w:r>
          </w:p>
        </w:tc>
      </w:tr>
      <w:tr w:rsidR="00B11531" w14:paraId="7C4EB37F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6C9A" w14:textId="77777777" w:rsidR="00B11531" w:rsidRDefault="00B11531" w:rsidP="00B1153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Pomoći iz inozemstva i od subjekata unutar općeg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3D8" w14:textId="77777777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07C34FD" w14:textId="63E6DE54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81.288,42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A726" w14:textId="77777777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355E4375" w14:textId="456530A5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172.027,82</w:t>
            </w:r>
          </w:p>
        </w:tc>
      </w:tr>
      <w:tr w:rsidR="00B11531" w14:paraId="5B2D48B4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00BA" w14:textId="77777777" w:rsidR="00B11531" w:rsidRDefault="00B11531" w:rsidP="00B1153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Prihodi od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C77E" w14:textId="3E0E53A3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2A94" w14:textId="01038246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256,38</w:t>
            </w:r>
          </w:p>
        </w:tc>
      </w:tr>
      <w:tr w:rsidR="00B11531" w14:paraId="7F04AC67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1288" w14:textId="77777777" w:rsidR="00B11531" w:rsidRDefault="00B11531" w:rsidP="00B1153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Prihodi od upravnih i administrativnih pristojbi, pristojbi po posebnim propisima i naknada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1F5" w14:textId="77777777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A8B4868" w14:textId="77777777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2438AB0" w14:textId="4C65A6E8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7.517,86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483" w14:textId="77777777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EE776BB" w14:textId="77777777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70C2DF7D" w14:textId="1F0A4680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10.055,27</w:t>
            </w:r>
          </w:p>
        </w:tc>
      </w:tr>
      <w:tr w:rsidR="00B11531" w14:paraId="46F4F79E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DE21" w14:textId="77777777" w:rsidR="00B11531" w:rsidRDefault="00B11531" w:rsidP="00B1153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Kazne, upravne mjere i ostali prihodi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3D47" w14:textId="77777777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C295B57" w14:textId="2DC0BD1D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2F8" w14:textId="77777777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14F2F02F" w14:textId="5823C074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60,23</w:t>
            </w:r>
          </w:p>
        </w:tc>
      </w:tr>
      <w:tr w:rsidR="00B11531" w14:paraId="0C6B9677" w14:textId="77777777" w:rsidTr="008A2F27">
        <w:trPr>
          <w:trHeight w:val="136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393F" w14:textId="77777777" w:rsidR="00B11531" w:rsidRDefault="00B11531" w:rsidP="00B11531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FF5A" w14:textId="3481F324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247.769,70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F4E3" w14:textId="709A603A" w:rsidR="00B11531" w:rsidRDefault="00B11531" w:rsidP="00B11531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391.289,42</w:t>
            </w:r>
          </w:p>
        </w:tc>
      </w:tr>
    </w:tbl>
    <w:p w14:paraId="1677F939" w14:textId="77777777" w:rsidR="00B11531" w:rsidRDefault="00B11531" w:rsidP="00B1153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3A0B6B5" w14:textId="77777777" w:rsidR="00B11531" w:rsidRDefault="00B11531" w:rsidP="00B1153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611 Porez i prirez na dohodak</w:t>
      </w:r>
    </w:p>
    <w:p w14:paraId="178DFDAC" w14:textId="70008B0B" w:rsidR="00B11531" w:rsidRPr="00B433CE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porez  od nesamostalnog rada i  veći je u odnosu na prethodnu godinu </w:t>
      </w:r>
      <w:r w:rsidR="002237F4" w:rsidRPr="002237F4">
        <w:rPr>
          <w:rFonts w:ascii="Times New Roman" w:hAnsi="Times New Roman" w:cs="Times New Roman"/>
          <w:sz w:val="24"/>
          <w:szCs w:val="24"/>
        </w:rPr>
        <w:t>vjerojatno zbog rasta plaća i veće zaposlenosti.</w:t>
      </w:r>
      <w:r>
        <w:rPr>
          <w:rFonts w:ascii="Times New Roman" w:hAnsi="Times New Roman" w:cs="Times New Roman"/>
          <w:sz w:val="24"/>
          <w:szCs w:val="24"/>
        </w:rPr>
        <w:t xml:space="preserve"> , a ostvareni su u iznosu od </w:t>
      </w:r>
      <w:r w:rsidR="002237F4">
        <w:rPr>
          <w:rFonts w:ascii="Times New Roman" w:hAnsi="Times New Roman" w:cs="Times New Roman"/>
          <w:sz w:val="24"/>
          <w:szCs w:val="24"/>
        </w:rPr>
        <w:t>208.889,72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4960A3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613 Porezi na imovinu</w:t>
      </w:r>
    </w:p>
    <w:p w14:paraId="430D2D0C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F4278F" w14:textId="790A6E7C" w:rsidR="002237F4" w:rsidRDefault="00B11531" w:rsidP="002237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porez na promet nekretnina u iznosu od </w:t>
      </w:r>
      <w:r w:rsidR="002237F4">
        <w:rPr>
          <w:rFonts w:ascii="Times New Roman" w:hAnsi="Times New Roman" w:cs="Times New Roman"/>
          <w:sz w:val="24"/>
          <w:szCs w:val="24"/>
        </w:rPr>
        <w:t>3.157,12</w:t>
      </w:r>
      <w:r>
        <w:rPr>
          <w:rFonts w:ascii="Arial" w:hAnsi="Arial" w:cs="Arial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 xml:space="preserve">koji je nešto </w:t>
      </w:r>
      <w:r w:rsidR="002237F4">
        <w:rPr>
          <w:rFonts w:ascii="Times New Roman" w:hAnsi="Times New Roman" w:cs="Times New Roman"/>
          <w:sz w:val="24"/>
          <w:szCs w:val="24"/>
        </w:rPr>
        <w:t>manji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  zbog </w:t>
      </w:r>
      <w:r w:rsidR="002237F4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prodaje nekretnina na području Općine Škabrnja</w:t>
      </w:r>
      <w:r w:rsidR="002237F4">
        <w:rPr>
          <w:rFonts w:ascii="Times New Roman" w:hAnsi="Times New Roman" w:cs="Times New Roman"/>
          <w:sz w:val="24"/>
          <w:szCs w:val="24"/>
        </w:rPr>
        <w:t>,</w:t>
      </w:r>
      <w:r w:rsidR="002237F4" w:rsidRPr="002237F4">
        <w:rPr>
          <w:rFonts w:ascii="Times New Roman" w:hAnsi="Times New Roman" w:cs="Times New Roman"/>
          <w:sz w:val="24"/>
          <w:szCs w:val="24"/>
        </w:rPr>
        <w:t xml:space="preserve"> </w:t>
      </w:r>
      <w:r w:rsidR="002237F4">
        <w:rPr>
          <w:rFonts w:ascii="Times New Roman" w:hAnsi="Times New Roman" w:cs="Times New Roman"/>
          <w:sz w:val="24"/>
          <w:szCs w:val="24"/>
        </w:rPr>
        <w:t>naplatu ovih poreza vrši porezna uprava.</w:t>
      </w:r>
    </w:p>
    <w:p w14:paraId="1070A41F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54FF2B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614 Porezi na robu i usluge </w:t>
      </w:r>
    </w:p>
    <w:p w14:paraId="73CE0084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F6B75F" w14:textId="1BA3BF81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porez na potrošnju alkoholnih i bezalkoholnih pića u iznosu od </w:t>
      </w:r>
      <w:r w:rsidR="002237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koji je u odnosu na prethodnu godinu ostvaren u nešto </w:t>
      </w:r>
      <w:r w:rsidR="002237F4">
        <w:rPr>
          <w:rFonts w:ascii="Times New Roman" w:hAnsi="Times New Roman" w:cs="Times New Roman"/>
          <w:sz w:val="24"/>
          <w:szCs w:val="24"/>
        </w:rPr>
        <w:t>manjem</w:t>
      </w:r>
      <w:r>
        <w:rPr>
          <w:rFonts w:ascii="Times New Roman" w:hAnsi="Times New Roman" w:cs="Times New Roman"/>
          <w:sz w:val="24"/>
          <w:szCs w:val="24"/>
        </w:rPr>
        <w:t xml:space="preserve"> iznosu, naplatu ovih poreza vrši porezna uprava.</w:t>
      </w:r>
    </w:p>
    <w:p w14:paraId="299B74A5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D6A0DA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633 Pomoći proračunu iz drugih proračuna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izvanpror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korisnicima</w:t>
      </w:r>
    </w:p>
    <w:p w14:paraId="03E5ACE8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933475" w14:textId="5ACCF093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tekuće pomoći iz državnog i županijskog proračuna i ostvarene su u iznosu od </w:t>
      </w:r>
      <w:r w:rsidR="002237F4">
        <w:rPr>
          <w:rFonts w:ascii="Times New Roman" w:hAnsi="Times New Roman" w:cs="Times New Roman"/>
          <w:sz w:val="24"/>
          <w:szCs w:val="24"/>
        </w:rPr>
        <w:t>11.748,00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2237F4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 u odnosu na prethodnu godinu </w:t>
      </w:r>
      <w:r w:rsidR="002237F4">
        <w:rPr>
          <w:rFonts w:ascii="Times New Roman" w:hAnsi="Times New Roman" w:cs="Times New Roman"/>
          <w:sz w:val="24"/>
          <w:szCs w:val="24"/>
        </w:rPr>
        <w:t xml:space="preserve">jer se za razliku od prošle godine na ovom kontu ne prikazuje pomoć od fiskalnog izravnanja </w:t>
      </w:r>
      <w:r>
        <w:rPr>
          <w:rFonts w:ascii="Times New Roman" w:hAnsi="Times New Roman" w:cs="Times New Roman"/>
          <w:sz w:val="24"/>
          <w:szCs w:val="24"/>
        </w:rPr>
        <w:t xml:space="preserve"> iz državnog proračuna</w:t>
      </w:r>
      <w:r w:rsidR="002237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7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stvarena  sredstva</w:t>
      </w:r>
      <w:r w:rsidR="002237F4">
        <w:rPr>
          <w:rFonts w:ascii="Times New Roman" w:hAnsi="Times New Roman" w:cs="Times New Roman"/>
          <w:sz w:val="24"/>
          <w:szCs w:val="24"/>
        </w:rPr>
        <w:t xml:space="preserve"> se odnose na</w:t>
      </w:r>
      <w:r>
        <w:rPr>
          <w:rFonts w:ascii="Times New Roman" w:hAnsi="Times New Roman" w:cs="Times New Roman"/>
          <w:sz w:val="24"/>
          <w:szCs w:val="24"/>
        </w:rPr>
        <w:t xml:space="preserve">  fiskalnu održivost dječj</w:t>
      </w:r>
      <w:r w:rsidR="002237F4"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z w:val="24"/>
          <w:szCs w:val="24"/>
        </w:rPr>
        <w:t xml:space="preserve"> vrtića.</w:t>
      </w:r>
    </w:p>
    <w:p w14:paraId="188FE6E1" w14:textId="77777777" w:rsidR="002237F4" w:rsidRPr="0049358E" w:rsidRDefault="002237F4" w:rsidP="00B1153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B35F8" w14:textId="20C37A1B" w:rsidR="002237F4" w:rsidRDefault="002237F4" w:rsidP="00B1153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58E">
        <w:rPr>
          <w:rFonts w:ascii="Times New Roman" w:hAnsi="Times New Roman" w:cs="Times New Roman"/>
          <w:b/>
          <w:bCs/>
          <w:sz w:val="24"/>
          <w:szCs w:val="24"/>
        </w:rPr>
        <w:t xml:space="preserve">635 Pomoć </w:t>
      </w:r>
      <w:r w:rsidR="0049358E" w:rsidRPr="0049358E">
        <w:rPr>
          <w:rFonts w:ascii="Times New Roman" w:hAnsi="Times New Roman" w:cs="Times New Roman"/>
          <w:b/>
          <w:bCs/>
          <w:sz w:val="24"/>
          <w:szCs w:val="24"/>
        </w:rPr>
        <w:t>izravnanja za decentralizirane funkcije i fiskalnog izravnanja</w:t>
      </w:r>
    </w:p>
    <w:p w14:paraId="624C9425" w14:textId="77777777" w:rsidR="0049358E" w:rsidRDefault="0049358E" w:rsidP="00B1153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1CC94" w14:textId="4DA1F898" w:rsidR="0049358E" w:rsidRDefault="0049358E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9358E">
        <w:rPr>
          <w:rFonts w:ascii="Times New Roman" w:hAnsi="Times New Roman" w:cs="Times New Roman"/>
          <w:sz w:val="24"/>
          <w:szCs w:val="24"/>
        </w:rPr>
        <w:t xml:space="preserve">Prihodi </w:t>
      </w:r>
      <w:r>
        <w:rPr>
          <w:rFonts w:ascii="Times New Roman" w:hAnsi="Times New Roman" w:cs="Times New Roman"/>
          <w:sz w:val="24"/>
          <w:szCs w:val="24"/>
        </w:rPr>
        <w:t>po ovoj osnovi odnose se na pomoći od fiskalnog izravnanja</w:t>
      </w:r>
      <w:r w:rsidR="009C29D6">
        <w:rPr>
          <w:rFonts w:ascii="Times New Roman" w:hAnsi="Times New Roman" w:cs="Times New Roman"/>
          <w:sz w:val="24"/>
          <w:szCs w:val="24"/>
        </w:rPr>
        <w:t xml:space="preserve"> koji se od ove godine prikazuju na novom kontu te su ostvareni u iznosu od 70.115,91€.</w:t>
      </w:r>
    </w:p>
    <w:p w14:paraId="4F448771" w14:textId="77777777" w:rsidR="009C29D6" w:rsidRPr="009C29D6" w:rsidRDefault="009C29D6" w:rsidP="00B1153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7E7E5" w14:textId="2E743E4F" w:rsidR="009C29D6" w:rsidRDefault="009C29D6" w:rsidP="00B1153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9D6">
        <w:rPr>
          <w:rFonts w:ascii="Times New Roman" w:hAnsi="Times New Roman" w:cs="Times New Roman"/>
          <w:b/>
          <w:bCs/>
          <w:sz w:val="24"/>
          <w:szCs w:val="24"/>
        </w:rPr>
        <w:t xml:space="preserve">638 Pomoći temeljem prijenosa EU sredstava </w:t>
      </w:r>
    </w:p>
    <w:p w14:paraId="2589F441" w14:textId="77777777" w:rsidR="009C29D6" w:rsidRDefault="009C29D6" w:rsidP="00B1153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B36EF" w14:textId="09386A1F" w:rsidR="009C29D6" w:rsidRPr="009C29D6" w:rsidRDefault="009C29D6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ostvareni su u iznosu od 90.161,91€ za razliku od prošle godine kada nije bilo prihoda po ovoj osnovi.</w:t>
      </w:r>
    </w:p>
    <w:p w14:paraId="1F506212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CEFFDD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652 Prihodi po posebnim propisima</w:t>
      </w:r>
    </w:p>
    <w:p w14:paraId="453AAB62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CDB03B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ostvareni su u iznosu od 521,01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manje u odnosu na prethodnu godinu zbog manjeg broja sklopljenih  ugovora za katastarsku izmjeru.</w:t>
      </w:r>
    </w:p>
    <w:p w14:paraId="4BEEBB46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933F61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653 Komunalni doprinosi i komunalna naknada</w:t>
      </w:r>
    </w:p>
    <w:p w14:paraId="4BF322A3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849C1C" w14:textId="759C5FBE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 osnovi komunalnog doprinosa ostvareni u iznosu o</w:t>
      </w:r>
      <w:r w:rsidR="009C29D6">
        <w:rPr>
          <w:rFonts w:ascii="Times New Roman" w:hAnsi="Times New Roman" w:cs="Times New Roman"/>
          <w:sz w:val="24"/>
          <w:szCs w:val="24"/>
        </w:rPr>
        <w:t>d 2.145,52</w:t>
      </w:r>
      <w:r>
        <w:rPr>
          <w:rFonts w:ascii="Arial" w:hAnsi="Arial" w:cs="Arial"/>
          <w:sz w:val="20"/>
          <w:szCs w:val="20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9C29D6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u odnosu na prošlu godinu zbog </w:t>
      </w:r>
      <w:r w:rsidR="009C29D6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izdanih rješenja za komunalni </w:t>
      </w:r>
      <w:proofErr w:type="spellStart"/>
      <w:r>
        <w:rPr>
          <w:rFonts w:ascii="Times New Roman" w:hAnsi="Times New Roman" w:cs="Times New Roman"/>
          <w:sz w:val="24"/>
          <w:szCs w:val="24"/>
        </w:rPr>
        <w:t>doprinos,a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komunalna naknada ostvarena je u iznosu od </w:t>
      </w:r>
      <w:r w:rsidR="009C29D6">
        <w:rPr>
          <w:rFonts w:ascii="Times New Roman" w:hAnsi="Times New Roman" w:cs="Times New Roman"/>
          <w:sz w:val="24"/>
          <w:szCs w:val="24"/>
        </w:rPr>
        <w:t>7.762,79</w:t>
      </w:r>
      <w:r>
        <w:rPr>
          <w:rFonts w:ascii="Arial" w:hAnsi="Arial" w:cs="Arial"/>
          <w:sz w:val="20"/>
          <w:szCs w:val="20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je više u odnosu na prethodnu godinu zbog </w:t>
      </w:r>
      <w:r w:rsidR="009C29D6">
        <w:rPr>
          <w:rFonts w:ascii="Times New Roman" w:hAnsi="Times New Roman" w:cs="Times New Roman"/>
          <w:sz w:val="24"/>
          <w:szCs w:val="24"/>
        </w:rPr>
        <w:t>naplate dugovanja po opomenama.</w:t>
      </w:r>
    </w:p>
    <w:p w14:paraId="7F65B04A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290A14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683 Ostali prihodi</w:t>
      </w:r>
    </w:p>
    <w:p w14:paraId="7074A390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B3C6B8" w14:textId="7EF2DB31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ostvareni su u iznosu od </w:t>
      </w:r>
      <w:r w:rsidR="009C29D6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29D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€,što je </w:t>
      </w:r>
      <w:r w:rsidR="009C29D6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znatno manje u odnosu na prethodnu godinu .</w:t>
      </w:r>
    </w:p>
    <w:p w14:paraId="1CDB60FB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0380DB" w14:textId="77777777" w:rsidR="00EA508B" w:rsidRDefault="00EA508B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DBFF28" w14:textId="77777777" w:rsidR="00EA508B" w:rsidRDefault="00EA508B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E19C26" w14:textId="77777777" w:rsidR="00EA508B" w:rsidRDefault="00EA508B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7FB11A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D6CFE3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18B78B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AD7A42" w14:textId="77777777" w:rsidR="00EA508B" w:rsidRDefault="00EA508B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243262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Rashodi poslovanja: </w:t>
      </w:r>
    </w:p>
    <w:p w14:paraId="32ADB218" w14:textId="77777777" w:rsidR="00B11531" w:rsidRDefault="00B11531" w:rsidP="00B11531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B11531" w14:paraId="2AA72050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60A0D" w14:textId="77777777" w:rsidR="00B11531" w:rsidRDefault="00B11531" w:rsidP="008A2F27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RASHODI POSLOVANJA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0C6B91" w14:textId="48E32A96" w:rsidR="00B11531" w:rsidRDefault="00B11531" w:rsidP="008A2F27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EA508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876127" w14:textId="7A8BBAA5" w:rsidR="00B11531" w:rsidRDefault="00B11531" w:rsidP="008A2F27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EA508B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A508B" w14:paraId="3ABD1E55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5C60" w14:textId="77777777" w:rsidR="00EA508B" w:rsidRDefault="00EA508B" w:rsidP="00EA508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BB5F" w14:textId="63BC118A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40.688,02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05F4" w14:textId="429269ED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59.550,95</w:t>
            </w:r>
          </w:p>
        </w:tc>
      </w:tr>
      <w:tr w:rsidR="00EA508B" w14:paraId="5A391893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81AB" w14:textId="77777777" w:rsidR="00EA508B" w:rsidRDefault="00EA508B" w:rsidP="00EA508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27FA" w14:textId="495B06B4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87.987,80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9E21" w14:textId="11B5216E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97.596,63</w:t>
            </w:r>
          </w:p>
        </w:tc>
      </w:tr>
      <w:tr w:rsidR="00EA508B" w14:paraId="16D6C56D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AF45" w14:textId="77777777" w:rsidR="00EA508B" w:rsidRDefault="00EA508B" w:rsidP="00EA508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Financijski rashodi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CB2D" w14:textId="271B6DBD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4068" w14:textId="5B4C2A23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464,04</w:t>
            </w:r>
          </w:p>
        </w:tc>
      </w:tr>
      <w:tr w:rsidR="00EA508B" w14:paraId="40795188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B2F3" w14:textId="77777777" w:rsidR="00EA508B" w:rsidRDefault="00EA508B" w:rsidP="00EA508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Pomoći dane u inozemstvo i unutar općeg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DDCA" w14:textId="77777777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1EBE07E" w14:textId="2D4F6A19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44.568,96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194A" w14:textId="77777777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41A70BB7" w14:textId="7BEB6263" w:rsidR="00EA508B" w:rsidRDefault="0011550E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58.251,12</w:t>
            </w:r>
          </w:p>
        </w:tc>
      </w:tr>
      <w:tr w:rsidR="00EA508B" w14:paraId="49E305CA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B762" w14:textId="77777777" w:rsidR="00EA508B" w:rsidRDefault="00EA508B" w:rsidP="00EA508B">
            <w:pPr>
              <w:pStyle w:val="Bezproreda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367 Prijenosi proračunskim korisnicima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F070" w14:textId="2D86CDE5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29.568,96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B740" w14:textId="7B8B291B" w:rsidR="00EA508B" w:rsidRDefault="0011550E" w:rsidP="00EA508B">
            <w:pPr>
              <w:pStyle w:val="Bezproreda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48.251,12</w:t>
            </w:r>
          </w:p>
        </w:tc>
      </w:tr>
      <w:tr w:rsidR="00EA508B" w14:paraId="385BD849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F3D2" w14:textId="77777777" w:rsidR="00EA508B" w:rsidRDefault="00EA508B" w:rsidP="00EA508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kućanstvu na temelju osiguranja i druge naknade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5C76" w14:textId="77777777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2CF1962" w14:textId="0223D670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5.320,00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E72" w14:textId="77777777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46B8BDF2" w14:textId="49E26E4E" w:rsidR="00EA508B" w:rsidRDefault="0011550E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13.630,00</w:t>
            </w:r>
          </w:p>
        </w:tc>
      </w:tr>
      <w:tr w:rsidR="00EA508B" w14:paraId="6FDE159B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4D86" w14:textId="77777777" w:rsidR="00EA508B" w:rsidRDefault="00EA508B" w:rsidP="00EA508B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E1D3" w14:textId="24A5342A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4D2" w14:textId="05F02DEC" w:rsidR="00EA508B" w:rsidRDefault="0011550E" w:rsidP="00EA508B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76.854,31</w:t>
            </w:r>
          </w:p>
        </w:tc>
      </w:tr>
      <w:tr w:rsidR="00EA508B" w14:paraId="0C78A880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D9CA" w14:textId="77777777" w:rsidR="00EA508B" w:rsidRDefault="00EA508B" w:rsidP="00EA508B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E53C" w14:textId="4DE280B1" w:rsidR="00EA508B" w:rsidRDefault="00EA508B" w:rsidP="00EA508B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197.275,09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1A3F" w14:textId="1C7BB561" w:rsidR="00EA508B" w:rsidRDefault="0011550E" w:rsidP="00EA508B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306.347,05</w:t>
            </w:r>
          </w:p>
        </w:tc>
      </w:tr>
    </w:tbl>
    <w:p w14:paraId="79405A32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4E02A" w14:textId="6AB9E984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311 Plaće(bruto) </w:t>
      </w:r>
    </w:p>
    <w:p w14:paraId="66785E6F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3646A" w14:textId="42EB0D56" w:rsidR="0011550E" w:rsidRDefault="0011550E" w:rsidP="0011550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po ovoj osnovi su veći u odnosu na prethodnu godinu jer je u srpnju 2024.god.započeo projekt Zaželi gdje je zaposleno 10 novih osoba.</w:t>
      </w:r>
    </w:p>
    <w:p w14:paraId="497212EC" w14:textId="77777777" w:rsidR="00B11531" w:rsidRPr="001517C5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CB476" w14:textId="77777777" w:rsidR="00B11531" w:rsidRPr="001517C5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7C5">
        <w:rPr>
          <w:rFonts w:ascii="Times New Roman" w:hAnsi="Times New Roman" w:cs="Times New Roman"/>
          <w:b/>
          <w:sz w:val="24"/>
          <w:szCs w:val="24"/>
        </w:rPr>
        <w:t>322 Rashodi za materijal i energiju</w:t>
      </w:r>
    </w:p>
    <w:p w14:paraId="71B3ECB4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CAD6E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po ovoj osnovi su veći u odnosu na prethodnu godinu zbog većih troškova za materijal i za tekuće i investicijsko održavanje.</w:t>
      </w:r>
    </w:p>
    <w:p w14:paraId="15E60824" w14:textId="77777777" w:rsidR="00B11531" w:rsidRPr="004E3557" w:rsidRDefault="00B11531" w:rsidP="00B1153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D302E1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323 Rashodi za usluge</w:t>
      </w:r>
    </w:p>
    <w:p w14:paraId="1E223540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1A4FB" w14:textId="1971FD36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 </w:t>
      </w:r>
      <w:r w:rsidR="00917FF7">
        <w:rPr>
          <w:rFonts w:ascii="Times New Roman" w:hAnsi="Times New Roman" w:cs="Times New Roman"/>
          <w:sz w:val="24"/>
          <w:szCs w:val="24"/>
        </w:rPr>
        <w:t>ne znatno manji</w:t>
      </w:r>
      <w:r>
        <w:rPr>
          <w:rFonts w:ascii="Times New Roman" w:hAnsi="Times New Roman" w:cs="Times New Roman"/>
          <w:sz w:val="24"/>
          <w:szCs w:val="24"/>
        </w:rPr>
        <w:t xml:space="preserve"> u odnosu na prethodnu zbog </w:t>
      </w:r>
      <w:r w:rsidR="00917FF7">
        <w:rPr>
          <w:rFonts w:ascii="Times New Roman" w:hAnsi="Times New Roman" w:cs="Times New Roman"/>
          <w:sz w:val="24"/>
          <w:szCs w:val="24"/>
        </w:rPr>
        <w:t>manjih troškova tekućeg investicijskog održavanja.</w:t>
      </w:r>
    </w:p>
    <w:p w14:paraId="3520A191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BF822D" w14:textId="796181DD" w:rsidR="0011550E" w:rsidRDefault="0011550E" w:rsidP="00B1153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FF7">
        <w:rPr>
          <w:rFonts w:ascii="Times New Roman" w:hAnsi="Times New Roman" w:cs="Times New Roman"/>
          <w:b/>
          <w:bCs/>
          <w:sz w:val="24"/>
          <w:szCs w:val="24"/>
        </w:rPr>
        <w:t xml:space="preserve">329 </w:t>
      </w:r>
      <w:r w:rsidR="00917FF7" w:rsidRPr="00917FF7">
        <w:rPr>
          <w:rFonts w:ascii="Times New Roman" w:hAnsi="Times New Roman" w:cs="Times New Roman"/>
          <w:b/>
          <w:bCs/>
          <w:sz w:val="24"/>
          <w:szCs w:val="24"/>
        </w:rPr>
        <w:t>Ostali nespomenuti rashodi poslovanja</w:t>
      </w:r>
    </w:p>
    <w:p w14:paraId="59739AEF" w14:textId="77777777" w:rsidR="00917FF7" w:rsidRDefault="00917FF7" w:rsidP="00B1153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1A6AD" w14:textId="7E38281D" w:rsidR="00917FF7" w:rsidRPr="00917FF7" w:rsidRDefault="00917FF7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7FF7">
        <w:rPr>
          <w:rFonts w:ascii="Times New Roman" w:hAnsi="Times New Roman" w:cs="Times New Roman"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sz w:val="24"/>
          <w:szCs w:val="24"/>
        </w:rPr>
        <w:t>po ovoj osnovi su veći u odnosu na prethodnu godinu zbog većih troškova pristojba i naknada te troškova sudskih postupaka u odnosu na prethodnu godinu.</w:t>
      </w:r>
    </w:p>
    <w:p w14:paraId="3A02E4A9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0AF912" w14:textId="77777777" w:rsidR="00B11531" w:rsidRPr="001517C5" w:rsidRDefault="00B11531" w:rsidP="00B1153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7C5">
        <w:rPr>
          <w:rFonts w:ascii="Times New Roman" w:hAnsi="Times New Roman" w:cs="Times New Roman"/>
          <w:b/>
          <w:bCs/>
          <w:sz w:val="24"/>
          <w:szCs w:val="24"/>
        </w:rPr>
        <w:t>363 Pomoći unutar općeg proračuna</w:t>
      </w:r>
    </w:p>
    <w:p w14:paraId="6C01DA90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2ABAE7" w14:textId="0D623E84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ostvareni su u </w:t>
      </w:r>
      <w:r w:rsidR="00917FF7">
        <w:rPr>
          <w:rFonts w:ascii="Times New Roman" w:hAnsi="Times New Roman" w:cs="Times New Roman"/>
          <w:sz w:val="24"/>
          <w:szCs w:val="24"/>
        </w:rPr>
        <w:t>manjem iznosu u odnosu na prethodnu godinu zbog manje dane pomoći Osnovnoj školi.</w:t>
      </w:r>
    </w:p>
    <w:p w14:paraId="6850FBAB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D3C177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372 Ostale naknade građanima i kućanstvima iz proračuna</w:t>
      </w:r>
    </w:p>
    <w:p w14:paraId="27B1ACC0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D1644" w14:textId="17B3F69F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veći u odnosu na prethodnu godinu </w:t>
      </w:r>
      <w:r w:rsidR="00917FF7">
        <w:rPr>
          <w:rFonts w:ascii="Times New Roman" w:hAnsi="Times New Roman" w:cs="Times New Roman"/>
          <w:sz w:val="24"/>
          <w:szCs w:val="24"/>
        </w:rPr>
        <w:t>zbog danih jednokratnih pomoći obiteljima.</w:t>
      </w:r>
    </w:p>
    <w:p w14:paraId="508C2AB5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4F5332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381 Tekuće donacije</w:t>
      </w:r>
    </w:p>
    <w:p w14:paraId="7A377F26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5DAC7" w14:textId="26BBDEAE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ovoj osnovi su veći u odnosu na prethodnu godinu zbog</w:t>
      </w:r>
      <w:r w:rsidR="00917FF7">
        <w:rPr>
          <w:rFonts w:ascii="Times New Roman" w:hAnsi="Times New Roman" w:cs="Times New Roman"/>
          <w:sz w:val="24"/>
          <w:szCs w:val="24"/>
        </w:rPr>
        <w:t xml:space="preserve"> zaduženja</w:t>
      </w:r>
      <w:r w:rsidR="000626D1">
        <w:rPr>
          <w:rFonts w:ascii="Times New Roman" w:hAnsi="Times New Roman" w:cs="Times New Roman"/>
          <w:sz w:val="24"/>
          <w:szCs w:val="24"/>
        </w:rPr>
        <w:t xml:space="preserve"> </w:t>
      </w:r>
      <w:r w:rsidR="00917FF7">
        <w:rPr>
          <w:rFonts w:ascii="Times New Roman" w:hAnsi="Times New Roman" w:cs="Times New Roman"/>
          <w:sz w:val="24"/>
          <w:szCs w:val="24"/>
        </w:rPr>
        <w:t xml:space="preserve"> ugovora na temelju javnog natječaja za udruge.</w:t>
      </w:r>
    </w:p>
    <w:p w14:paraId="2354577A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D419C3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FAFA3C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93FDF4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CF4FCF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76D570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E71F06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Prihodi od prodaje nefinancijske imovine:</w:t>
      </w:r>
    </w:p>
    <w:p w14:paraId="419E1441" w14:textId="77777777" w:rsidR="00B11531" w:rsidRDefault="00B11531" w:rsidP="00B11531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B11531" w14:paraId="152D47CD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7BCABE" w14:textId="77777777" w:rsidR="00B11531" w:rsidRDefault="00B11531" w:rsidP="008A2F27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PRIHODI OD PRODAJE NEFINANCIJSKE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1DBFA6" w14:textId="7E8D674B" w:rsidR="00B11531" w:rsidRDefault="00B11531" w:rsidP="008A2F27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0626D1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4E4156" w14:textId="26479E52" w:rsidR="00B11531" w:rsidRDefault="00B11531" w:rsidP="008A2F27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0626D1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626D1" w14:paraId="4F93BE9C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48DC" w14:textId="77777777" w:rsidR="000626D1" w:rsidRDefault="000626D1" w:rsidP="000626D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 Prihodi od prodaje </w:t>
            </w:r>
            <w:proofErr w:type="spellStart"/>
            <w:r>
              <w:rPr>
                <w:rFonts w:ascii="Times New Roman" w:hAnsi="Times New Roman" w:cs="Times New Roman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8485" w14:textId="77777777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4502F489" w14:textId="0505E37F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27.372,09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6CF" w14:textId="77777777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44E0146" w14:textId="264CC560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10.001,93</w:t>
            </w:r>
          </w:p>
        </w:tc>
      </w:tr>
      <w:tr w:rsidR="000626D1" w14:paraId="740C9880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AE3" w14:textId="77777777" w:rsidR="000626D1" w:rsidRDefault="000626D1" w:rsidP="000626D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Prihodi od prodaje proizvedene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E1" w14:textId="77777777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60E7E501" w14:textId="22C1A2D6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6D3" w14:textId="77777777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2C8FFDE" w14:textId="35F26217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626D1" w14:paraId="3B7C5E58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50D4" w14:textId="77777777" w:rsidR="000626D1" w:rsidRDefault="000626D1" w:rsidP="000626D1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95D5" w14:textId="3EBFBBEB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27.972,09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C46C" w14:textId="40F9702A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10.001,93</w:t>
            </w:r>
          </w:p>
        </w:tc>
      </w:tr>
    </w:tbl>
    <w:p w14:paraId="2D3C1A28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42F3E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>711</w:t>
      </w:r>
      <w:r w:rsidRPr="00AF49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Prihodi od prodaje materijalne imovine</w:t>
      </w:r>
      <w:r w:rsidRPr="00AF4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55F01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2A580C" w14:textId="75E5B98C" w:rsidR="00B11531" w:rsidRPr="002925F8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ovoj osnovi odnose se na prodaju građevinskog zemljišta mladim obiteljima</w:t>
      </w:r>
      <w:r w:rsidR="000626D1">
        <w:rPr>
          <w:rFonts w:ascii="Times New Roman" w:hAnsi="Times New Roman" w:cs="Times New Roman"/>
          <w:sz w:val="24"/>
          <w:szCs w:val="24"/>
        </w:rPr>
        <w:t xml:space="preserve"> te su ostvareni u manjem iznosu nego prethodne godine</w:t>
      </w:r>
    </w:p>
    <w:p w14:paraId="13807E0F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70CAAF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721 Prihodi od prodaje proizvedene dugotrajne imovine </w:t>
      </w:r>
    </w:p>
    <w:p w14:paraId="591C6F1E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D74049" w14:textId="16C63178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prihode od prodaje grobnih mjesta </w:t>
      </w:r>
      <w:r w:rsidR="000626D1">
        <w:rPr>
          <w:rFonts w:ascii="Times New Roman" w:hAnsi="Times New Roman" w:cs="Times New Roman"/>
          <w:sz w:val="24"/>
          <w:szCs w:val="24"/>
        </w:rPr>
        <w:t xml:space="preserve"> te u ovoj godini nisu ostvareni.</w:t>
      </w:r>
    </w:p>
    <w:p w14:paraId="78CA05A3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47253D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imovine:</w:t>
      </w:r>
    </w:p>
    <w:p w14:paraId="396C8C12" w14:textId="77777777" w:rsidR="00B11531" w:rsidRDefault="00B11531" w:rsidP="00B11531">
      <w:pPr>
        <w:pStyle w:val="Bezproreda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Navedeni iznosi su izraženi u EUR valuti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B11531" w14:paraId="1196A926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467292" w14:textId="77777777" w:rsidR="00B11531" w:rsidRDefault="00B11531" w:rsidP="008A2F27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RASHODI ZA NABAVU NEFINANCIJSKE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61152" w14:textId="498D86F5" w:rsidR="00B11531" w:rsidRDefault="00B11531" w:rsidP="008A2F27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0626D1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35F2B" w14:textId="0BFFA8A3" w:rsidR="00B11531" w:rsidRDefault="00B11531" w:rsidP="008A2F27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0626D1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626D1" w14:paraId="483D44D9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D6F1" w14:textId="77777777" w:rsidR="000626D1" w:rsidRDefault="000626D1" w:rsidP="000626D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 Rashodi za nabavu </w:t>
            </w:r>
            <w:proofErr w:type="spellStart"/>
            <w:r>
              <w:rPr>
                <w:rFonts w:ascii="Times New Roman" w:hAnsi="Times New Roman" w:cs="Times New Roman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dugotrajne imovine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B5B" w14:textId="77777777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48396EED" w14:textId="68882784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22.875,00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146" w14:textId="77777777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58DD98D7" w14:textId="656B5A9E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13.040,00</w:t>
            </w:r>
          </w:p>
        </w:tc>
      </w:tr>
      <w:tr w:rsidR="000626D1" w14:paraId="1A672695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2361" w14:textId="77777777" w:rsidR="000626D1" w:rsidRDefault="000626D1" w:rsidP="000626D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Rashodi za nabavu proizvedene dugotrajne imovine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034" w14:textId="77777777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0B556F9E" w14:textId="751EDFF0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35.449,35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60C" w14:textId="77777777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  <w:p w14:paraId="27FFC64C" w14:textId="6D53C52F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33.987,57</w:t>
            </w:r>
          </w:p>
        </w:tc>
      </w:tr>
      <w:tr w:rsidR="000626D1" w14:paraId="7213749A" w14:textId="77777777" w:rsidTr="008A2F27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D4DC" w14:textId="77777777" w:rsidR="000626D1" w:rsidRDefault="000626D1" w:rsidP="000626D1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UKUPNO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AE46" w14:textId="5F2545FF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18.807,00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8FAB" w14:textId="4C528121" w:rsidR="000626D1" w:rsidRDefault="000626D1" w:rsidP="000626D1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47.027,57</w:t>
            </w:r>
          </w:p>
        </w:tc>
      </w:tr>
    </w:tbl>
    <w:p w14:paraId="6F6D1DD8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1EE8DF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412 Nematerijalna imovina</w:t>
      </w:r>
    </w:p>
    <w:p w14:paraId="64D88129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FED0A" w14:textId="25A505D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ostvareni  u iznosu od </w:t>
      </w:r>
      <w:r w:rsidR="000626D1">
        <w:rPr>
          <w:rFonts w:ascii="Times New Roman" w:hAnsi="Times New Roman" w:cs="Times New Roman"/>
          <w:sz w:val="24"/>
          <w:szCs w:val="24"/>
        </w:rPr>
        <w:t>13.040</w:t>
      </w:r>
      <w:r>
        <w:rPr>
          <w:rFonts w:ascii="Times New Roman" w:hAnsi="Times New Roman" w:cs="Times New Roman"/>
          <w:sz w:val="24"/>
          <w:szCs w:val="24"/>
        </w:rPr>
        <w:t xml:space="preserve">,00€ što je </w:t>
      </w:r>
      <w:r w:rsidR="000626D1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godinu. Rashod se odnosi na izradu </w:t>
      </w:r>
      <w:r w:rsidR="000626D1">
        <w:rPr>
          <w:rFonts w:ascii="Times New Roman" w:hAnsi="Times New Roman" w:cs="Times New Roman"/>
          <w:sz w:val="24"/>
          <w:szCs w:val="24"/>
        </w:rPr>
        <w:t>projekta vodovodnih odvojaka.</w:t>
      </w:r>
    </w:p>
    <w:p w14:paraId="09958F19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9F6C3A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421 Građevinski objekti</w:t>
      </w:r>
    </w:p>
    <w:p w14:paraId="0407C51D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21AD6C" w14:textId="15237128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ostvareni u iznosu od </w:t>
      </w:r>
      <w:r w:rsidR="000626D1">
        <w:rPr>
          <w:rFonts w:ascii="Times New Roman" w:hAnsi="Times New Roman" w:cs="Times New Roman"/>
          <w:sz w:val="24"/>
          <w:szCs w:val="24"/>
        </w:rPr>
        <w:t>27.591,61</w:t>
      </w:r>
      <w:r>
        <w:rPr>
          <w:rFonts w:ascii="Times New Roman" w:hAnsi="Times New Roman" w:cs="Times New Roman"/>
          <w:sz w:val="24"/>
          <w:szCs w:val="24"/>
        </w:rPr>
        <w:t xml:space="preserve">€ zbog radova na sportskom centru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0626D1">
        <w:rPr>
          <w:rFonts w:ascii="Times New Roman" w:hAnsi="Times New Roman" w:cs="Times New Roman"/>
          <w:sz w:val="24"/>
          <w:szCs w:val="24"/>
        </w:rPr>
        <w:t>izradi asfaltnih prilaza.</w:t>
      </w:r>
    </w:p>
    <w:p w14:paraId="5C06D170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DA14A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422 Postrojenja i oprema</w:t>
      </w:r>
    </w:p>
    <w:p w14:paraId="16414111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69F0F5" w14:textId="4574A8AC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 ovoj osnovi su ostvareni u iznosu </w:t>
      </w:r>
      <w:r w:rsidR="000626D1">
        <w:rPr>
          <w:rFonts w:ascii="Times New Roman" w:hAnsi="Times New Roman" w:cs="Times New Roman"/>
          <w:sz w:val="24"/>
          <w:szCs w:val="24"/>
        </w:rPr>
        <w:t>6.395,96</w:t>
      </w:r>
      <w:r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0626D1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0626D1">
        <w:rPr>
          <w:rFonts w:ascii="Times New Roman" w:hAnsi="Times New Roman" w:cs="Times New Roman"/>
          <w:sz w:val="24"/>
          <w:szCs w:val="24"/>
        </w:rPr>
        <w:t xml:space="preserve">, a odnose se na </w:t>
      </w:r>
      <w:r>
        <w:rPr>
          <w:rFonts w:ascii="Times New Roman" w:hAnsi="Times New Roman" w:cs="Times New Roman"/>
          <w:sz w:val="24"/>
          <w:szCs w:val="24"/>
        </w:rPr>
        <w:t>nabave novih uređaja i opreme.</w:t>
      </w:r>
    </w:p>
    <w:p w14:paraId="5B4DC14B" w14:textId="77777777" w:rsidR="00B11531" w:rsidRDefault="00B11531" w:rsidP="00B11531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0FD2F5D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EE06174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A9E79FA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52866DE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655F9E9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CA4D330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EDCE867" w14:textId="77777777" w:rsidR="0011550E" w:rsidRDefault="0011550E" w:rsidP="00B11531">
      <w:pPr>
        <w:pStyle w:val="Bezproreda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C0EE9D0" w14:textId="2A468805" w:rsidR="00B11531" w:rsidRDefault="00B11531" w:rsidP="00B11531">
      <w:pPr>
        <w:pStyle w:val="Bezproreda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Bilješke uz obrazac Obveze:</w:t>
      </w:r>
    </w:p>
    <w:p w14:paraId="032CA10A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2AB341" w14:textId="756C6B78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iskazano na dan 31. ožujka 202</w:t>
      </w:r>
      <w:r w:rsidR="000626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iznosi 2</w:t>
      </w:r>
      <w:r w:rsidR="000626D1">
        <w:rPr>
          <w:rFonts w:ascii="Times New Roman" w:hAnsi="Times New Roman" w:cs="Times New Roman"/>
          <w:sz w:val="24"/>
          <w:szCs w:val="24"/>
        </w:rPr>
        <w:t>00.885,76</w:t>
      </w:r>
      <w:r>
        <w:rPr>
          <w:rFonts w:ascii="Times New Roman" w:hAnsi="Times New Roman" w:cs="Times New Roman"/>
          <w:sz w:val="24"/>
          <w:szCs w:val="24"/>
        </w:rPr>
        <w:t xml:space="preserve">€  i od toga dospjele obveze iznose </w:t>
      </w:r>
      <w:r w:rsidR="000626D1">
        <w:rPr>
          <w:rFonts w:ascii="Times New Roman" w:hAnsi="Times New Roman" w:cs="Times New Roman"/>
          <w:sz w:val="24"/>
          <w:szCs w:val="24"/>
        </w:rPr>
        <w:t>139.800,55</w:t>
      </w:r>
      <w:r>
        <w:rPr>
          <w:rFonts w:ascii="Times New Roman" w:hAnsi="Times New Roman" w:cs="Times New Roman"/>
          <w:sz w:val="24"/>
          <w:szCs w:val="24"/>
        </w:rPr>
        <w:t xml:space="preserve">€  i nedospjele obveze </w:t>
      </w:r>
      <w:r w:rsidR="000626D1">
        <w:rPr>
          <w:rFonts w:ascii="Times New Roman" w:hAnsi="Times New Roman" w:cs="Times New Roman"/>
          <w:sz w:val="24"/>
          <w:szCs w:val="24"/>
        </w:rPr>
        <w:t>61.085,21</w:t>
      </w:r>
      <w:r>
        <w:rPr>
          <w:rFonts w:ascii="Times New Roman" w:hAnsi="Times New Roman" w:cs="Times New Roman"/>
          <w:sz w:val="24"/>
          <w:szCs w:val="24"/>
        </w:rPr>
        <w:t>€.</w:t>
      </w:r>
    </w:p>
    <w:p w14:paraId="1B2BAE6B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CEF544" w14:textId="7FE27072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Dospjele obveze odnose se na obveze za materijalne rashode u iznosu od </w:t>
      </w:r>
      <w:r w:rsidR="003E36BB">
        <w:rPr>
          <w:rFonts w:ascii="Times New Roman" w:hAnsi="Times New Roman" w:cs="Times New Roman"/>
          <w:sz w:val="24"/>
          <w:szCs w:val="24"/>
        </w:rPr>
        <w:t>48.988,33</w:t>
      </w:r>
      <w:r>
        <w:rPr>
          <w:rFonts w:ascii="Times New Roman" w:hAnsi="Times New Roman" w:cs="Times New Roman"/>
          <w:sz w:val="24"/>
          <w:szCs w:val="24"/>
        </w:rPr>
        <w:t>€, obveze za financijske rashode u iznosu od 12.</w:t>
      </w:r>
      <w:r w:rsidR="003E36BB">
        <w:rPr>
          <w:rFonts w:ascii="Times New Roman" w:hAnsi="Times New Roman" w:cs="Times New Roman"/>
          <w:sz w:val="24"/>
          <w:szCs w:val="24"/>
        </w:rPr>
        <w:t>508,69</w:t>
      </w:r>
      <w:r>
        <w:rPr>
          <w:rFonts w:ascii="Times New Roman" w:hAnsi="Times New Roman" w:cs="Times New Roman"/>
          <w:sz w:val="24"/>
          <w:szCs w:val="24"/>
        </w:rPr>
        <w:t xml:space="preserve">€, tekuće obveze u iznosu od </w:t>
      </w:r>
      <w:r w:rsidR="003E36BB">
        <w:rPr>
          <w:rFonts w:ascii="Times New Roman" w:hAnsi="Times New Roman" w:cs="Times New Roman"/>
          <w:sz w:val="24"/>
          <w:szCs w:val="24"/>
        </w:rPr>
        <w:t>60,89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3E36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obveze za nabavu nefinancijske imovine u iznosu od </w:t>
      </w:r>
      <w:r w:rsidR="003E36BB">
        <w:rPr>
          <w:rFonts w:ascii="Times New Roman" w:hAnsi="Times New Roman" w:cs="Times New Roman"/>
          <w:sz w:val="24"/>
          <w:szCs w:val="24"/>
        </w:rPr>
        <w:t>67.632,18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3E36BB">
        <w:rPr>
          <w:rFonts w:ascii="Times New Roman" w:hAnsi="Times New Roman" w:cs="Times New Roman"/>
          <w:sz w:val="24"/>
          <w:szCs w:val="24"/>
        </w:rPr>
        <w:t xml:space="preserve"> i obveze za predujmove, </w:t>
      </w:r>
      <w:proofErr w:type="spellStart"/>
      <w:r w:rsidR="003E36BB">
        <w:rPr>
          <w:rFonts w:ascii="Times New Roman" w:hAnsi="Times New Roman" w:cs="Times New Roman"/>
          <w:sz w:val="24"/>
          <w:szCs w:val="24"/>
        </w:rPr>
        <w:t>jamčevne</w:t>
      </w:r>
      <w:proofErr w:type="spellEnd"/>
      <w:r w:rsidR="003E3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BB">
        <w:rPr>
          <w:rFonts w:ascii="Times New Roman" w:hAnsi="Times New Roman" w:cs="Times New Roman"/>
          <w:sz w:val="24"/>
          <w:szCs w:val="24"/>
        </w:rPr>
        <w:t>pologe</w:t>
      </w:r>
      <w:proofErr w:type="spellEnd"/>
      <w:r w:rsidR="003E36BB">
        <w:rPr>
          <w:rFonts w:ascii="Times New Roman" w:hAnsi="Times New Roman" w:cs="Times New Roman"/>
          <w:sz w:val="24"/>
          <w:szCs w:val="24"/>
        </w:rPr>
        <w:t xml:space="preserve"> i tuđe prihode u iznosu od 8.608,60€.</w:t>
      </w:r>
    </w:p>
    <w:p w14:paraId="1FA42CF6" w14:textId="77777777" w:rsidR="00B11531" w:rsidRDefault="00B11531" w:rsidP="00B115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5DAB8F" w14:textId="016067AE" w:rsidR="00B11531" w:rsidRPr="003E36BB" w:rsidRDefault="00B11531" w:rsidP="00B11531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Nedospjele obveze odnose se na obveze za </w:t>
      </w:r>
      <w:r w:rsidR="003E36BB">
        <w:rPr>
          <w:rFonts w:ascii="Times New Roman" w:hAnsi="Times New Roman" w:cs="Times New Roman"/>
          <w:sz w:val="24"/>
          <w:szCs w:val="24"/>
        </w:rPr>
        <w:t>materijalne rashode u iznosu od 7.776,32€, obveze za usluge platnog prometa u iznosu od 196,59€, obveze za kapitalne pomoći proračunskim korisnicima drugih proračuna u iznosu od 6.000,00€, obveze za ostale naknade građanima i kućanstvima u iznosu od 3.420,00€ te obveze za tekuće donacije u novcu u iznosu od 43.692,30€.</w:t>
      </w:r>
    </w:p>
    <w:p w14:paraId="3C8B971E" w14:textId="77777777" w:rsidR="00B11531" w:rsidRDefault="00B11531" w:rsidP="00B11531">
      <w:pPr>
        <w:rPr>
          <w:lang w:val="hr-HR"/>
        </w:rPr>
      </w:pPr>
    </w:p>
    <w:p w14:paraId="523131A4" w14:textId="77777777" w:rsidR="00B11531" w:rsidRDefault="00B11531" w:rsidP="00B11531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</w:t>
      </w:r>
    </w:p>
    <w:p w14:paraId="444A2EF4" w14:textId="1BFA0992" w:rsidR="00B11531" w:rsidRDefault="00B11531" w:rsidP="00B11531">
      <w:pPr>
        <w:rPr>
          <w:i/>
          <w:lang w:val="hr-HR"/>
        </w:rPr>
      </w:pPr>
      <w:r>
        <w:rPr>
          <w:i/>
          <w:lang w:val="hr-HR"/>
        </w:rPr>
        <w:t>Škabrnja, 10.travnja  202</w:t>
      </w:r>
      <w:r w:rsidR="00935116">
        <w:rPr>
          <w:i/>
          <w:lang w:val="hr-HR"/>
        </w:rPr>
        <w:t>5</w:t>
      </w:r>
      <w:r w:rsidR="003E36BB">
        <w:rPr>
          <w:i/>
          <w:lang w:val="hr-HR"/>
        </w:rPr>
        <w:t>.</w:t>
      </w:r>
      <w:r>
        <w:rPr>
          <w:i/>
          <w:lang w:val="hr-HR"/>
        </w:rPr>
        <w:t xml:space="preserve"> god.</w:t>
      </w:r>
    </w:p>
    <w:p w14:paraId="6CF82054" w14:textId="77777777" w:rsidR="00B11531" w:rsidRDefault="00B11531" w:rsidP="00B11531">
      <w:pPr>
        <w:rPr>
          <w:lang w:val="hr-HR"/>
        </w:rPr>
      </w:pPr>
    </w:p>
    <w:p w14:paraId="05FD209E" w14:textId="77777777" w:rsidR="00B11531" w:rsidRDefault="00B11531" w:rsidP="00B11531">
      <w:pPr>
        <w:rPr>
          <w:lang w:val="hr-HR"/>
        </w:rPr>
      </w:pPr>
      <w:r>
        <w:rPr>
          <w:lang w:val="hr-HR"/>
        </w:rPr>
        <w:t xml:space="preserve">                    </w:t>
      </w:r>
    </w:p>
    <w:p w14:paraId="5AD908AA" w14:textId="77777777" w:rsidR="00B11531" w:rsidRDefault="00B11531" w:rsidP="00B11531">
      <w:pPr>
        <w:rPr>
          <w:b/>
          <w:lang w:val="hr-HR"/>
        </w:rPr>
      </w:pPr>
      <w:r>
        <w:rPr>
          <w:b/>
          <w:lang w:val="hr-HR"/>
        </w:rPr>
        <w:t xml:space="preserve">    </w:t>
      </w:r>
    </w:p>
    <w:p w14:paraId="532E5599" w14:textId="77777777" w:rsidR="00B11531" w:rsidRDefault="00B11531" w:rsidP="00B11531">
      <w:pPr>
        <w:rPr>
          <w:b/>
          <w:lang w:val="hr-HR"/>
        </w:rPr>
      </w:pPr>
      <w:r>
        <w:rPr>
          <w:b/>
          <w:lang w:val="hr-HR"/>
        </w:rPr>
        <w:t xml:space="preserve">       </w:t>
      </w:r>
    </w:p>
    <w:p w14:paraId="3396A161" w14:textId="77777777" w:rsidR="00B11531" w:rsidRDefault="00B11531" w:rsidP="00B11531">
      <w:pPr>
        <w:ind w:left="5664" w:firstLine="708"/>
        <w:rPr>
          <w:lang w:val="hr-HR"/>
        </w:rPr>
      </w:pPr>
      <w:r>
        <w:rPr>
          <w:lang w:val="hr-HR"/>
        </w:rPr>
        <w:t>Zakonski predstavnik</w:t>
      </w:r>
    </w:p>
    <w:p w14:paraId="34B9D510" w14:textId="77777777" w:rsidR="00B11531" w:rsidRDefault="00B11531" w:rsidP="00B11531">
      <w:pPr>
        <w:rPr>
          <w:lang w:val="hr-HR"/>
        </w:rPr>
      </w:pPr>
    </w:p>
    <w:p w14:paraId="582FA3F2" w14:textId="77777777" w:rsidR="00B11531" w:rsidRPr="00601F94" w:rsidRDefault="00B11531" w:rsidP="00B11531">
      <w:pPr>
        <w:jc w:val="center"/>
        <w:rPr>
          <w:b/>
          <w:i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            </w:t>
      </w:r>
      <w:r>
        <w:rPr>
          <w:b/>
          <w:i/>
          <w:lang w:val="hr-HR"/>
        </w:rPr>
        <w:t xml:space="preserve">Ivan </w:t>
      </w:r>
      <w:proofErr w:type="spellStart"/>
      <w:r>
        <w:rPr>
          <w:b/>
          <w:i/>
          <w:lang w:val="hr-HR"/>
        </w:rPr>
        <w:t>Škara,mag.oec</w:t>
      </w:r>
      <w:proofErr w:type="spellEnd"/>
    </w:p>
    <w:p w14:paraId="58D20238" w14:textId="77777777" w:rsidR="00B42C13" w:rsidRDefault="00B42C13"/>
    <w:sectPr w:rsidR="00B42C13" w:rsidSect="0011550E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31"/>
    <w:rsid w:val="000626D1"/>
    <w:rsid w:val="0011550E"/>
    <w:rsid w:val="002237F4"/>
    <w:rsid w:val="003E36BB"/>
    <w:rsid w:val="0049358E"/>
    <w:rsid w:val="00630B6D"/>
    <w:rsid w:val="00917FF7"/>
    <w:rsid w:val="00935116"/>
    <w:rsid w:val="009C29D6"/>
    <w:rsid w:val="00AF559D"/>
    <w:rsid w:val="00B11531"/>
    <w:rsid w:val="00B42C13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B64B"/>
  <w15:chartTrackingRefBased/>
  <w15:docId w15:val="{2AAAD31A-B6D7-4A3E-B477-8508BAEF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B115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15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15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15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15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15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15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15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15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11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1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1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153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153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15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15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15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15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1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1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15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11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15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115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15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1153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1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153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153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11531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B115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4</cp:revision>
  <cp:lastPrinted>2025-04-10T12:12:00Z</cp:lastPrinted>
  <dcterms:created xsi:type="dcterms:W3CDTF">2025-04-10T10:36:00Z</dcterms:created>
  <dcterms:modified xsi:type="dcterms:W3CDTF">2025-04-10T12:14:00Z</dcterms:modified>
</cp:coreProperties>
</file>